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8E2C" w14:textId="77777777" w:rsidR="00A14641" w:rsidRPr="00CD3D79" w:rsidRDefault="00A14641" w:rsidP="00CD3D79">
      <w:pPr>
        <w:rPr>
          <w:rFonts w:ascii="Times" w:hAnsi="Times"/>
          <w:sz w:val="20"/>
          <w:szCs w:val="20"/>
          <w:lang w:val="es-ES_tradnl" w:eastAsia="es-ES_tradnl"/>
        </w:rPr>
      </w:pPr>
      <w:r>
        <w:rPr>
          <w:rFonts w:ascii="Times" w:hAnsi="Times"/>
          <w:noProof/>
          <w:sz w:val="20"/>
          <w:szCs w:val="20"/>
          <w:lang w:val="es-MX" w:eastAsia="es-MX"/>
        </w:rPr>
        <w:drawing>
          <wp:inline distT="0" distB="0" distL="0" distR="0" wp14:anchorId="5B5D701B" wp14:editId="2AA29EF1">
            <wp:extent cx="2059728" cy="2059728"/>
            <wp:effectExtent l="25400" t="0" r="0" b="0"/>
            <wp:docPr id="3" name="Imagen 0" descr="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309" cy="2061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sz w:val="20"/>
          <w:szCs w:val="20"/>
          <w:lang w:val="es-ES_tradnl" w:eastAsia="es-ES_tradnl"/>
        </w:rPr>
        <w:tab/>
      </w:r>
      <w:r>
        <w:rPr>
          <w:rFonts w:ascii="Times" w:hAnsi="Times"/>
          <w:sz w:val="20"/>
          <w:szCs w:val="20"/>
          <w:lang w:val="es-ES_tradnl" w:eastAsia="es-ES_tradnl"/>
        </w:rPr>
        <w:tab/>
      </w:r>
      <w:r>
        <w:rPr>
          <w:rFonts w:ascii="Times" w:hAnsi="Times"/>
          <w:sz w:val="20"/>
          <w:szCs w:val="20"/>
          <w:lang w:val="es-ES_tradnl" w:eastAsia="es-ES_tradnl"/>
        </w:rPr>
        <w:tab/>
      </w:r>
      <w:r>
        <w:rPr>
          <w:rFonts w:ascii="Times" w:hAnsi="Times"/>
          <w:noProof/>
          <w:sz w:val="20"/>
          <w:szCs w:val="20"/>
          <w:lang w:val="es-MX" w:eastAsia="es-MX"/>
        </w:rPr>
        <w:drawing>
          <wp:inline distT="0" distB="0" distL="0" distR="0" wp14:anchorId="3BB842F1" wp14:editId="26ECE4A7">
            <wp:extent cx="2371302" cy="2371302"/>
            <wp:effectExtent l="25400" t="0" r="0" b="0"/>
            <wp:docPr id="9" name="Imagen 9" descr="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02" cy="237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17FB50" w14:textId="0CBD7CDA" w:rsidR="003229CC" w:rsidRPr="00CD3D79" w:rsidRDefault="00AA77DE" w:rsidP="00936D7B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La nueva p</w:t>
      </w:r>
      <w:r w:rsidR="003229CC" w:rsidRPr="00CD3D79">
        <w:rPr>
          <w:rFonts w:ascii="Arial" w:hAnsi="Arial" w:cs="Arial"/>
          <w:b/>
          <w:szCs w:val="24"/>
        </w:rPr>
        <w:t xml:space="preserve">olítica de </w:t>
      </w:r>
      <w:r>
        <w:rPr>
          <w:rFonts w:ascii="Arial" w:hAnsi="Arial" w:cs="Arial"/>
          <w:b/>
          <w:szCs w:val="24"/>
        </w:rPr>
        <w:t>c</w:t>
      </w:r>
      <w:r w:rsidR="003229CC" w:rsidRPr="00CD3D79">
        <w:rPr>
          <w:rFonts w:ascii="Arial" w:hAnsi="Arial" w:cs="Arial"/>
          <w:b/>
          <w:szCs w:val="24"/>
        </w:rPr>
        <w:t xml:space="preserve">omunicación </w:t>
      </w:r>
      <w:r>
        <w:rPr>
          <w:rFonts w:ascii="Arial" w:hAnsi="Arial" w:cs="Arial"/>
          <w:b/>
          <w:szCs w:val="24"/>
        </w:rPr>
        <w:t>s</w:t>
      </w:r>
      <w:r w:rsidR="003229CC" w:rsidRPr="00CD3D79">
        <w:rPr>
          <w:rFonts w:ascii="Arial" w:hAnsi="Arial" w:cs="Arial"/>
          <w:b/>
          <w:szCs w:val="24"/>
        </w:rPr>
        <w:t>ocial</w:t>
      </w:r>
      <w:r>
        <w:rPr>
          <w:rFonts w:ascii="Arial" w:hAnsi="Arial" w:cs="Arial"/>
          <w:b/>
          <w:szCs w:val="24"/>
        </w:rPr>
        <w:t xml:space="preserve"> es </w:t>
      </w:r>
      <w:r w:rsidR="003229CC" w:rsidRPr="00CD3D79">
        <w:rPr>
          <w:rFonts w:ascii="Arial" w:hAnsi="Arial" w:cs="Arial"/>
          <w:b/>
          <w:szCs w:val="24"/>
        </w:rPr>
        <w:t xml:space="preserve">un paso importante pero </w:t>
      </w:r>
      <w:r>
        <w:rPr>
          <w:rFonts w:ascii="Arial" w:hAnsi="Arial" w:cs="Arial"/>
          <w:b/>
          <w:szCs w:val="24"/>
        </w:rPr>
        <w:t>insuficiente</w:t>
      </w:r>
    </w:p>
    <w:p w14:paraId="7410F0EB" w14:textId="721CF5BC" w:rsidR="003229CC" w:rsidRPr="00CD3D79" w:rsidRDefault="009B0146" w:rsidP="003229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</w:t>
      </w:r>
      <w:r w:rsidR="003229CC" w:rsidRPr="00CD3D79">
        <w:rPr>
          <w:rFonts w:ascii="Arial" w:hAnsi="Arial" w:cs="Arial"/>
          <w:szCs w:val="24"/>
        </w:rPr>
        <w:t xml:space="preserve"> </w:t>
      </w:r>
      <w:r w:rsidR="00AA77DE">
        <w:rPr>
          <w:rFonts w:ascii="Arial" w:hAnsi="Arial" w:cs="Arial"/>
          <w:szCs w:val="24"/>
        </w:rPr>
        <w:t>p</w:t>
      </w:r>
      <w:r w:rsidR="003229CC" w:rsidRPr="00CD3D79">
        <w:rPr>
          <w:rFonts w:ascii="Arial" w:hAnsi="Arial" w:cs="Arial"/>
          <w:szCs w:val="24"/>
        </w:rPr>
        <w:t xml:space="preserve">olítica </w:t>
      </w:r>
      <w:r w:rsidR="00AA77DE">
        <w:rPr>
          <w:rFonts w:ascii="Arial" w:hAnsi="Arial" w:cs="Arial"/>
          <w:szCs w:val="24"/>
        </w:rPr>
        <w:t xml:space="preserve">anunciada por </w:t>
      </w:r>
      <w:r w:rsidR="00286BD8" w:rsidRPr="00CD3D79">
        <w:rPr>
          <w:rFonts w:ascii="Arial" w:hAnsi="Arial" w:cs="Arial"/>
          <w:szCs w:val="24"/>
        </w:rPr>
        <w:t xml:space="preserve">el </w:t>
      </w:r>
      <w:r w:rsidR="00AA77DE">
        <w:rPr>
          <w:rFonts w:ascii="Arial" w:hAnsi="Arial" w:cs="Arial"/>
          <w:szCs w:val="24"/>
        </w:rPr>
        <w:t>g</w:t>
      </w:r>
      <w:r w:rsidR="00286BD8" w:rsidRPr="00CD3D79">
        <w:rPr>
          <w:rFonts w:ascii="Arial" w:hAnsi="Arial" w:cs="Arial"/>
          <w:szCs w:val="24"/>
        </w:rPr>
        <w:t xml:space="preserve">obierno </w:t>
      </w:r>
      <w:r w:rsidR="00AA77DE">
        <w:rPr>
          <w:rFonts w:ascii="Arial" w:hAnsi="Arial" w:cs="Arial"/>
          <w:szCs w:val="24"/>
        </w:rPr>
        <w:t>f</w:t>
      </w:r>
      <w:r w:rsidR="00286BD8" w:rsidRPr="00CD3D79">
        <w:rPr>
          <w:rFonts w:ascii="Arial" w:hAnsi="Arial" w:cs="Arial"/>
          <w:szCs w:val="24"/>
        </w:rPr>
        <w:t>ederal</w:t>
      </w:r>
      <w:r w:rsidR="003229CC" w:rsidRPr="00CD3D79">
        <w:rPr>
          <w:rFonts w:ascii="Arial" w:hAnsi="Arial" w:cs="Arial"/>
          <w:szCs w:val="24"/>
        </w:rPr>
        <w:t xml:space="preserve"> no </w:t>
      </w:r>
      <w:r w:rsidR="00AA77DE">
        <w:rPr>
          <w:rFonts w:ascii="Arial" w:hAnsi="Arial" w:cs="Arial"/>
          <w:szCs w:val="24"/>
        </w:rPr>
        <w:t>garantiza el final de una</w:t>
      </w:r>
      <w:r w:rsidR="003229CC" w:rsidRPr="00CD3D79">
        <w:rPr>
          <w:rFonts w:ascii="Arial" w:hAnsi="Arial" w:cs="Arial"/>
          <w:szCs w:val="24"/>
        </w:rPr>
        <w:t xml:space="preserve"> relación viciada entre medios y gobierno.</w:t>
      </w:r>
    </w:p>
    <w:p w14:paraId="48F764CD" w14:textId="4A6B1AB8" w:rsidR="00A544D0" w:rsidRPr="00CD3D79" w:rsidRDefault="00A544D0" w:rsidP="00A544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CD3D79">
        <w:rPr>
          <w:rFonts w:ascii="Arial" w:hAnsi="Arial" w:cs="Arial"/>
          <w:szCs w:val="24"/>
        </w:rPr>
        <w:t xml:space="preserve">El cambio </w:t>
      </w:r>
      <w:r w:rsidR="00AA77DE">
        <w:rPr>
          <w:rFonts w:ascii="Arial" w:hAnsi="Arial" w:cs="Arial"/>
          <w:szCs w:val="24"/>
        </w:rPr>
        <w:t xml:space="preserve">real </w:t>
      </w:r>
      <w:r w:rsidR="00005D43" w:rsidRPr="00CD3D79">
        <w:rPr>
          <w:rFonts w:ascii="Arial" w:hAnsi="Arial" w:cs="Arial"/>
          <w:szCs w:val="24"/>
        </w:rPr>
        <w:t>debe</w:t>
      </w:r>
      <w:r w:rsidRPr="00CD3D79">
        <w:rPr>
          <w:rFonts w:ascii="Arial" w:hAnsi="Arial" w:cs="Arial"/>
          <w:szCs w:val="24"/>
        </w:rPr>
        <w:t xml:space="preserve"> pasa</w:t>
      </w:r>
      <w:r w:rsidR="00005D43" w:rsidRPr="00CD3D79">
        <w:rPr>
          <w:rFonts w:ascii="Arial" w:hAnsi="Arial" w:cs="Arial"/>
          <w:szCs w:val="24"/>
        </w:rPr>
        <w:t>r</w:t>
      </w:r>
      <w:r w:rsidRPr="00CD3D79">
        <w:rPr>
          <w:rFonts w:ascii="Arial" w:hAnsi="Arial" w:cs="Arial"/>
          <w:szCs w:val="24"/>
        </w:rPr>
        <w:t xml:space="preserve"> por la abrogación de la</w:t>
      </w:r>
      <w:r w:rsidR="00AA77DE">
        <w:rPr>
          <w:rFonts w:ascii="Arial" w:hAnsi="Arial" w:cs="Arial"/>
          <w:szCs w:val="24"/>
        </w:rPr>
        <w:t xml:space="preserve"> actual</w:t>
      </w:r>
      <w:r w:rsidRPr="00CD3D79">
        <w:rPr>
          <w:rFonts w:ascii="Arial" w:hAnsi="Arial" w:cs="Arial"/>
          <w:szCs w:val="24"/>
        </w:rPr>
        <w:t xml:space="preserve"> Ley General de Comunicación Social</w:t>
      </w:r>
      <w:r w:rsidR="00AA77DE">
        <w:rPr>
          <w:rFonts w:ascii="Arial" w:hAnsi="Arial" w:cs="Arial"/>
          <w:szCs w:val="24"/>
        </w:rPr>
        <w:t>, y</w:t>
      </w:r>
      <w:r w:rsidRPr="00CD3D79">
        <w:rPr>
          <w:rFonts w:ascii="Arial" w:hAnsi="Arial" w:cs="Arial"/>
          <w:szCs w:val="24"/>
        </w:rPr>
        <w:t xml:space="preserve"> la</w:t>
      </w:r>
      <w:r w:rsidR="00005D43" w:rsidRPr="00CD3D79">
        <w:rPr>
          <w:rFonts w:ascii="Arial" w:hAnsi="Arial" w:cs="Arial"/>
          <w:szCs w:val="24"/>
        </w:rPr>
        <w:t xml:space="preserve"> discusión y</w:t>
      </w:r>
      <w:r w:rsidRPr="00CD3D79">
        <w:rPr>
          <w:rFonts w:ascii="Arial" w:hAnsi="Arial" w:cs="Arial"/>
          <w:szCs w:val="24"/>
        </w:rPr>
        <w:t xml:space="preserve"> </w:t>
      </w:r>
      <w:r w:rsidR="00AA77DE">
        <w:rPr>
          <w:rFonts w:ascii="Arial" w:hAnsi="Arial" w:cs="Arial"/>
          <w:szCs w:val="24"/>
        </w:rPr>
        <w:t>aprobación</w:t>
      </w:r>
      <w:r w:rsidRPr="00CD3D79">
        <w:rPr>
          <w:rFonts w:ascii="Arial" w:hAnsi="Arial" w:cs="Arial"/>
          <w:szCs w:val="24"/>
        </w:rPr>
        <w:t xml:space="preserve"> de una nueva.</w:t>
      </w:r>
    </w:p>
    <w:p w14:paraId="55E2E902" w14:textId="77777777" w:rsidR="003229CC" w:rsidRPr="00CD3D79" w:rsidRDefault="003229CC" w:rsidP="00A544D0">
      <w:pPr>
        <w:pStyle w:val="Prrafodelista"/>
        <w:jc w:val="both"/>
        <w:rPr>
          <w:rFonts w:ascii="Arial" w:hAnsi="Arial" w:cs="Arial"/>
          <w:szCs w:val="24"/>
        </w:rPr>
      </w:pPr>
    </w:p>
    <w:p w14:paraId="7D11D813" w14:textId="03A32ACB" w:rsidR="00220BA5" w:rsidRPr="00CD3D79" w:rsidRDefault="003229CC" w:rsidP="003229CC">
      <w:pPr>
        <w:jc w:val="both"/>
        <w:rPr>
          <w:rFonts w:ascii="Arial" w:hAnsi="Arial" w:cs="Arial"/>
          <w:szCs w:val="24"/>
        </w:rPr>
      </w:pPr>
      <w:r w:rsidRPr="00CD3D79">
        <w:rPr>
          <w:rFonts w:ascii="Arial" w:hAnsi="Arial" w:cs="Arial"/>
          <w:b/>
          <w:szCs w:val="24"/>
        </w:rPr>
        <w:t>Ciudad de México, a 1</w:t>
      </w:r>
      <w:r w:rsidR="00AA77DE">
        <w:rPr>
          <w:rFonts w:ascii="Arial" w:hAnsi="Arial" w:cs="Arial"/>
          <w:b/>
          <w:szCs w:val="24"/>
        </w:rPr>
        <w:t>8</w:t>
      </w:r>
      <w:r w:rsidRPr="00CD3D79">
        <w:rPr>
          <w:rFonts w:ascii="Arial" w:hAnsi="Arial" w:cs="Arial"/>
          <w:b/>
          <w:szCs w:val="24"/>
        </w:rPr>
        <w:t xml:space="preserve"> de abril de 2019. </w:t>
      </w:r>
      <w:r w:rsidRPr="00CD3D79">
        <w:rPr>
          <w:rFonts w:ascii="Arial" w:hAnsi="Arial" w:cs="Arial"/>
          <w:szCs w:val="24"/>
        </w:rPr>
        <w:t xml:space="preserve">La </w:t>
      </w:r>
      <w:r w:rsidR="00AA77DE">
        <w:rPr>
          <w:rFonts w:ascii="Arial" w:hAnsi="Arial" w:cs="Arial"/>
          <w:szCs w:val="24"/>
        </w:rPr>
        <w:t>p</w:t>
      </w:r>
      <w:r w:rsidRPr="00CD3D79">
        <w:rPr>
          <w:rFonts w:ascii="Arial" w:hAnsi="Arial" w:cs="Arial"/>
          <w:szCs w:val="24"/>
        </w:rPr>
        <w:t xml:space="preserve">olítica de </w:t>
      </w:r>
      <w:r w:rsidR="00AA77DE">
        <w:rPr>
          <w:rFonts w:ascii="Arial" w:hAnsi="Arial" w:cs="Arial"/>
          <w:szCs w:val="24"/>
        </w:rPr>
        <w:t>c</w:t>
      </w:r>
      <w:r w:rsidRPr="00CD3D79">
        <w:rPr>
          <w:rFonts w:ascii="Arial" w:hAnsi="Arial" w:cs="Arial"/>
          <w:szCs w:val="24"/>
        </w:rPr>
        <w:t xml:space="preserve">omunicación </w:t>
      </w:r>
      <w:r w:rsidR="00AA77DE">
        <w:rPr>
          <w:rFonts w:ascii="Arial" w:hAnsi="Arial" w:cs="Arial"/>
          <w:szCs w:val="24"/>
        </w:rPr>
        <w:t>s</w:t>
      </w:r>
      <w:r w:rsidRPr="00CD3D79">
        <w:rPr>
          <w:rFonts w:ascii="Arial" w:hAnsi="Arial" w:cs="Arial"/>
          <w:szCs w:val="24"/>
        </w:rPr>
        <w:t>ocia</w:t>
      </w:r>
      <w:r w:rsidR="00220BA5" w:rsidRPr="00CD3D79">
        <w:rPr>
          <w:rFonts w:ascii="Arial" w:hAnsi="Arial" w:cs="Arial"/>
          <w:szCs w:val="24"/>
        </w:rPr>
        <w:t>l</w:t>
      </w:r>
      <w:r w:rsidRPr="00CD3D79">
        <w:rPr>
          <w:rFonts w:ascii="Arial" w:hAnsi="Arial" w:cs="Arial"/>
          <w:szCs w:val="24"/>
        </w:rPr>
        <w:t xml:space="preserve"> publicada el</w:t>
      </w:r>
      <w:r w:rsidR="00AA77DE">
        <w:rPr>
          <w:rFonts w:ascii="Arial" w:hAnsi="Arial" w:cs="Arial"/>
          <w:szCs w:val="24"/>
        </w:rPr>
        <w:t xml:space="preserve"> 17 de abril</w:t>
      </w:r>
      <w:r w:rsidRPr="00CD3D79">
        <w:rPr>
          <w:rFonts w:ascii="Arial" w:hAnsi="Arial" w:cs="Arial"/>
          <w:szCs w:val="24"/>
        </w:rPr>
        <w:t xml:space="preserve"> en el Diario Oficial de la Federación, </w:t>
      </w:r>
      <w:r w:rsidR="00AA77DE">
        <w:rPr>
          <w:rFonts w:ascii="Arial" w:hAnsi="Arial" w:cs="Arial"/>
          <w:szCs w:val="24"/>
        </w:rPr>
        <w:t>significa</w:t>
      </w:r>
      <w:r w:rsidRPr="00CD3D79">
        <w:rPr>
          <w:rFonts w:ascii="Arial" w:hAnsi="Arial" w:cs="Arial"/>
          <w:szCs w:val="24"/>
        </w:rPr>
        <w:t xml:space="preserve"> algun</w:t>
      </w:r>
      <w:r w:rsidR="00AA77DE">
        <w:rPr>
          <w:rFonts w:ascii="Arial" w:hAnsi="Arial" w:cs="Arial"/>
          <w:szCs w:val="24"/>
        </w:rPr>
        <w:t>o</w:t>
      </w:r>
      <w:r w:rsidRPr="00CD3D79">
        <w:rPr>
          <w:rFonts w:ascii="Arial" w:hAnsi="Arial" w:cs="Arial"/>
          <w:szCs w:val="24"/>
        </w:rPr>
        <w:t xml:space="preserve">s </w:t>
      </w:r>
      <w:r w:rsidR="00AA77DE">
        <w:rPr>
          <w:rFonts w:ascii="Arial" w:hAnsi="Arial" w:cs="Arial"/>
          <w:szCs w:val="24"/>
        </w:rPr>
        <w:t>avances</w:t>
      </w:r>
      <w:r w:rsidRPr="00CD3D79">
        <w:rPr>
          <w:rFonts w:ascii="Arial" w:hAnsi="Arial" w:cs="Arial"/>
          <w:szCs w:val="24"/>
        </w:rPr>
        <w:t xml:space="preserve"> </w:t>
      </w:r>
      <w:r w:rsidR="00AA77DE">
        <w:rPr>
          <w:rFonts w:ascii="Arial" w:hAnsi="Arial" w:cs="Arial"/>
          <w:szCs w:val="24"/>
        </w:rPr>
        <w:t xml:space="preserve">importantes en la materia pero que no son suficientes para garantizar un mejor uso del gasto en publicidad oficial. </w:t>
      </w:r>
      <w:r w:rsidR="00220BA5" w:rsidRPr="00CD3D79">
        <w:rPr>
          <w:rFonts w:ascii="Arial" w:hAnsi="Arial" w:cs="Arial"/>
          <w:szCs w:val="24"/>
        </w:rPr>
        <w:t>I</w:t>
      </w:r>
      <w:r w:rsidRPr="00CD3D79">
        <w:rPr>
          <w:rFonts w:ascii="Arial" w:hAnsi="Arial" w:cs="Arial"/>
          <w:szCs w:val="24"/>
        </w:rPr>
        <w:t>mpulsar un cambio real</w:t>
      </w:r>
      <w:r w:rsidR="00220BA5" w:rsidRPr="00CD3D79">
        <w:rPr>
          <w:rFonts w:ascii="Arial" w:hAnsi="Arial" w:cs="Arial"/>
          <w:szCs w:val="24"/>
        </w:rPr>
        <w:t xml:space="preserve"> en la relación entre medios y gobierno </w:t>
      </w:r>
      <w:r w:rsidR="00005D43" w:rsidRPr="00CD3D79">
        <w:rPr>
          <w:rFonts w:ascii="Arial" w:hAnsi="Arial" w:cs="Arial"/>
          <w:szCs w:val="24"/>
        </w:rPr>
        <w:t xml:space="preserve">debe </w:t>
      </w:r>
      <w:r w:rsidR="00220BA5" w:rsidRPr="00CD3D79">
        <w:rPr>
          <w:rFonts w:ascii="Arial" w:hAnsi="Arial" w:cs="Arial"/>
          <w:szCs w:val="24"/>
        </w:rPr>
        <w:t>pasa</w:t>
      </w:r>
      <w:r w:rsidR="00005D43" w:rsidRPr="00CD3D79">
        <w:rPr>
          <w:rFonts w:ascii="Arial" w:hAnsi="Arial" w:cs="Arial"/>
          <w:szCs w:val="24"/>
        </w:rPr>
        <w:t>r</w:t>
      </w:r>
      <w:r w:rsidR="00220BA5" w:rsidRPr="00CD3D79">
        <w:rPr>
          <w:rFonts w:ascii="Arial" w:hAnsi="Arial" w:cs="Arial"/>
          <w:szCs w:val="24"/>
        </w:rPr>
        <w:t xml:space="preserve"> por la abrogación de la Ley </w:t>
      </w:r>
      <w:r w:rsidR="000D075F" w:rsidRPr="00CD3D79">
        <w:rPr>
          <w:rFonts w:ascii="Arial" w:hAnsi="Arial" w:cs="Arial"/>
          <w:szCs w:val="24"/>
        </w:rPr>
        <w:t>G</w:t>
      </w:r>
      <w:r w:rsidR="00220BA5" w:rsidRPr="00CD3D79">
        <w:rPr>
          <w:rFonts w:ascii="Arial" w:hAnsi="Arial" w:cs="Arial"/>
          <w:szCs w:val="24"/>
        </w:rPr>
        <w:t xml:space="preserve">eneral de </w:t>
      </w:r>
      <w:r w:rsidR="000D075F" w:rsidRPr="00CD3D79">
        <w:rPr>
          <w:rFonts w:ascii="Arial" w:hAnsi="Arial" w:cs="Arial"/>
          <w:szCs w:val="24"/>
        </w:rPr>
        <w:t>C</w:t>
      </w:r>
      <w:r w:rsidR="00220BA5" w:rsidRPr="00CD3D79">
        <w:rPr>
          <w:rFonts w:ascii="Arial" w:hAnsi="Arial" w:cs="Arial"/>
          <w:szCs w:val="24"/>
        </w:rPr>
        <w:t xml:space="preserve">omunicación </w:t>
      </w:r>
      <w:r w:rsidR="000D075F" w:rsidRPr="00CD3D79">
        <w:rPr>
          <w:rFonts w:ascii="Arial" w:hAnsi="Arial" w:cs="Arial"/>
          <w:szCs w:val="24"/>
        </w:rPr>
        <w:t>S</w:t>
      </w:r>
      <w:r w:rsidR="00220BA5" w:rsidRPr="00CD3D79">
        <w:rPr>
          <w:rFonts w:ascii="Arial" w:hAnsi="Arial" w:cs="Arial"/>
          <w:szCs w:val="24"/>
        </w:rPr>
        <w:t>ocial</w:t>
      </w:r>
      <w:r w:rsidR="00005D43" w:rsidRPr="00CD3D79">
        <w:rPr>
          <w:rFonts w:ascii="Arial" w:hAnsi="Arial" w:cs="Arial"/>
          <w:szCs w:val="24"/>
        </w:rPr>
        <w:t>, la discusión y emisión de una nueva,</w:t>
      </w:r>
      <w:r w:rsidR="00E65D90" w:rsidRPr="00CD3D79">
        <w:rPr>
          <w:rFonts w:ascii="Arial" w:hAnsi="Arial" w:cs="Arial"/>
          <w:szCs w:val="24"/>
        </w:rPr>
        <w:t xml:space="preserve"> y un cambio profundo de las prácticas institucionales</w:t>
      </w:r>
      <w:r w:rsidR="00AA77DE">
        <w:rPr>
          <w:rFonts w:ascii="Arial" w:hAnsi="Arial" w:cs="Arial"/>
          <w:szCs w:val="24"/>
        </w:rPr>
        <w:t>.</w:t>
      </w:r>
    </w:p>
    <w:p w14:paraId="309B55C0" w14:textId="4E874137" w:rsidR="008F098D" w:rsidRPr="00CD3D79" w:rsidRDefault="00AA77DE" w:rsidP="003229C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 p</w:t>
      </w:r>
      <w:r w:rsidR="003229CC" w:rsidRPr="00CD3D79">
        <w:rPr>
          <w:rFonts w:ascii="Arial" w:hAnsi="Arial" w:cs="Arial"/>
          <w:szCs w:val="24"/>
        </w:rPr>
        <w:t>olítica</w:t>
      </w:r>
      <w:r>
        <w:rPr>
          <w:rFonts w:ascii="Arial" w:hAnsi="Arial" w:cs="Arial"/>
          <w:szCs w:val="24"/>
        </w:rPr>
        <w:t xml:space="preserve"> </w:t>
      </w:r>
      <w:r w:rsidR="00220BA5" w:rsidRPr="00CD3D79">
        <w:rPr>
          <w:rFonts w:ascii="Arial" w:hAnsi="Arial" w:cs="Arial"/>
          <w:szCs w:val="24"/>
        </w:rPr>
        <w:t xml:space="preserve">busca </w:t>
      </w:r>
      <w:r w:rsidR="00220BA5" w:rsidRPr="00CD3D79">
        <w:rPr>
          <w:rFonts w:ascii="Arial" w:eastAsia="Times New Roman" w:hAnsi="Arial" w:cs="Arial"/>
          <w:szCs w:val="24"/>
        </w:rPr>
        <w:t>establecer l</w:t>
      </w:r>
      <w:r>
        <w:rPr>
          <w:rFonts w:ascii="Arial" w:eastAsia="Times New Roman" w:hAnsi="Arial" w:cs="Arial"/>
          <w:szCs w:val="24"/>
        </w:rPr>
        <w:t>os criterios</w:t>
      </w:r>
      <w:r w:rsidR="00220BA5" w:rsidRPr="00CD3D79">
        <w:rPr>
          <w:rFonts w:ascii="Arial" w:eastAsia="Times New Roman" w:hAnsi="Arial" w:cs="Arial"/>
          <w:szCs w:val="24"/>
        </w:rPr>
        <w:t xml:space="preserve"> que </w:t>
      </w:r>
      <w:r>
        <w:rPr>
          <w:rFonts w:ascii="Arial" w:eastAsia="Times New Roman" w:hAnsi="Arial" w:cs="Arial"/>
          <w:szCs w:val="24"/>
        </w:rPr>
        <w:t xml:space="preserve">deberán seguir </w:t>
      </w:r>
      <w:r w:rsidR="00220BA5" w:rsidRPr="00CD3D79">
        <w:rPr>
          <w:rFonts w:ascii="Arial" w:eastAsia="Times New Roman" w:hAnsi="Arial" w:cs="Arial"/>
          <w:szCs w:val="24"/>
        </w:rPr>
        <w:t xml:space="preserve">las dependencias y entidades </w:t>
      </w:r>
      <w:r>
        <w:rPr>
          <w:rFonts w:ascii="Arial" w:eastAsia="Times New Roman" w:hAnsi="Arial" w:cs="Arial"/>
          <w:szCs w:val="24"/>
        </w:rPr>
        <w:t xml:space="preserve">federales </w:t>
      </w:r>
      <w:r w:rsidR="00220BA5" w:rsidRPr="00CD3D79">
        <w:rPr>
          <w:rFonts w:ascii="Arial" w:eastAsia="Times New Roman" w:hAnsi="Arial" w:cs="Arial"/>
          <w:szCs w:val="24"/>
        </w:rPr>
        <w:t xml:space="preserve">para </w:t>
      </w:r>
      <w:r w:rsidR="003A2B71">
        <w:rPr>
          <w:rFonts w:ascii="Arial" w:eastAsia="Times New Roman" w:hAnsi="Arial" w:cs="Arial"/>
          <w:szCs w:val="24"/>
        </w:rPr>
        <w:t>el uso de los recursos asignados a publicidad oficial</w:t>
      </w:r>
      <w:r w:rsidR="00220BA5" w:rsidRPr="00CD3D79">
        <w:rPr>
          <w:rFonts w:ascii="Arial" w:eastAsia="Times New Roman" w:hAnsi="Arial" w:cs="Arial"/>
          <w:szCs w:val="24"/>
        </w:rPr>
        <w:t xml:space="preserve">. </w:t>
      </w:r>
      <w:r w:rsidR="003A2B71">
        <w:rPr>
          <w:rFonts w:ascii="Arial" w:eastAsia="Times New Roman" w:hAnsi="Arial" w:cs="Arial"/>
          <w:szCs w:val="24"/>
        </w:rPr>
        <w:t>E</w:t>
      </w:r>
      <w:r w:rsidR="009B0146">
        <w:rPr>
          <w:rFonts w:ascii="Arial" w:eastAsia="Times New Roman" w:hAnsi="Arial" w:cs="Arial"/>
          <w:szCs w:val="24"/>
        </w:rPr>
        <w:t>l</w:t>
      </w:r>
      <w:r w:rsidR="003A2B71">
        <w:rPr>
          <w:rFonts w:ascii="Arial" w:eastAsia="Times New Roman" w:hAnsi="Arial" w:cs="Arial"/>
          <w:szCs w:val="24"/>
        </w:rPr>
        <w:t xml:space="preserve"> anuncio</w:t>
      </w:r>
      <w:r w:rsidR="00220BA5" w:rsidRPr="00CD3D79">
        <w:rPr>
          <w:rFonts w:ascii="Arial" w:hAnsi="Arial" w:cs="Arial"/>
          <w:szCs w:val="24"/>
        </w:rPr>
        <w:t xml:space="preserve"> se inscribe en el mismo esfuerzo que los </w:t>
      </w:r>
      <w:hyperlink r:id="rId7" w:history="1">
        <w:r w:rsidR="00035A1D" w:rsidRPr="00CD3D79">
          <w:rPr>
            <w:rStyle w:val="Hipervnculo"/>
            <w:rFonts w:ascii="Arial" w:hAnsi="Arial" w:cs="Arial"/>
            <w:szCs w:val="24"/>
          </w:rPr>
          <w:t>L</w:t>
        </w:r>
        <w:r w:rsidR="00220BA5" w:rsidRPr="00CD3D79">
          <w:rPr>
            <w:rStyle w:val="Hipervnculo"/>
            <w:rFonts w:ascii="Arial" w:hAnsi="Arial" w:cs="Arial"/>
            <w:szCs w:val="24"/>
          </w:rPr>
          <w:t>ineamientos</w:t>
        </w:r>
        <w:r w:rsidR="008F098D" w:rsidRPr="00CD3D79">
          <w:rPr>
            <w:rStyle w:val="Hipervnculo"/>
            <w:rFonts w:ascii="Arial" w:hAnsi="Arial" w:cs="Arial"/>
            <w:szCs w:val="24"/>
          </w:rPr>
          <w:t xml:space="preserve"> generales para el registro y autorización de los programas de comunicación y de promoción y publicidad de las dependencias y entidades de la Administración Pública Federal para el ejercicio fiscal 2019</w:t>
        </w:r>
      </w:hyperlink>
      <w:r w:rsidR="008F098D" w:rsidRPr="00CD3D79">
        <w:rPr>
          <w:rFonts w:ascii="Arial" w:hAnsi="Arial" w:cs="Arial"/>
          <w:szCs w:val="24"/>
        </w:rPr>
        <w:t xml:space="preserve"> publicado en enero de este año. </w:t>
      </w:r>
    </w:p>
    <w:p w14:paraId="52358289" w14:textId="692FAF31" w:rsidR="00936D7B" w:rsidRPr="00CD3D79" w:rsidRDefault="009B0146" w:rsidP="003229C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Ambos</w:t>
      </w:r>
      <w:r w:rsidR="008F098D" w:rsidRPr="00CD3D79">
        <w:rPr>
          <w:rFonts w:ascii="Arial" w:hAnsi="Arial" w:cs="Arial"/>
          <w:szCs w:val="24"/>
        </w:rPr>
        <w:t xml:space="preserve"> ordenamientos </w:t>
      </w:r>
      <w:r w:rsidR="003A2B71">
        <w:rPr>
          <w:rFonts w:ascii="Arial" w:hAnsi="Arial" w:cs="Arial"/>
          <w:szCs w:val="24"/>
        </w:rPr>
        <w:t>dan mayor</w:t>
      </w:r>
      <w:r w:rsidR="008F098D" w:rsidRPr="00CD3D79">
        <w:rPr>
          <w:rFonts w:ascii="Arial" w:hAnsi="Arial" w:cs="Arial"/>
          <w:szCs w:val="24"/>
        </w:rPr>
        <w:t xml:space="preserve"> certeza </w:t>
      </w:r>
      <w:r w:rsidR="003A2B71">
        <w:rPr>
          <w:rFonts w:ascii="Arial" w:hAnsi="Arial" w:cs="Arial"/>
          <w:szCs w:val="24"/>
        </w:rPr>
        <w:t>sobre</w:t>
      </w:r>
      <w:r w:rsidR="008F098D" w:rsidRPr="00CD3D79">
        <w:rPr>
          <w:rFonts w:ascii="Arial" w:hAnsi="Arial" w:cs="Arial"/>
          <w:szCs w:val="24"/>
        </w:rPr>
        <w:t xml:space="preserve"> la transparencia del gasto y de las ampliaciones</w:t>
      </w:r>
      <w:r w:rsidR="003A2B71">
        <w:rPr>
          <w:rFonts w:ascii="Arial" w:hAnsi="Arial" w:cs="Arial"/>
          <w:szCs w:val="24"/>
        </w:rPr>
        <w:t xml:space="preserve"> presupuestales</w:t>
      </w:r>
      <w:r w:rsidR="008F098D" w:rsidRPr="00CD3D79">
        <w:rPr>
          <w:rFonts w:ascii="Arial" w:hAnsi="Arial" w:cs="Arial"/>
          <w:szCs w:val="24"/>
        </w:rPr>
        <w:t>, los criterios de asignación,</w:t>
      </w:r>
      <w:r w:rsidR="003A2B71">
        <w:rPr>
          <w:rFonts w:ascii="Arial" w:hAnsi="Arial" w:cs="Arial"/>
          <w:szCs w:val="24"/>
        </w:rPr>
        <w:t xml:space="preserve"> la evaluación de las campañas y </w:t>
      </w:r>
      <w:r w:rsidR="008F098D" w:rsidRPr="00CD3D79">
        <w:rPr>
          <w:rFonts w:ascii="Arial" w:hAnsi="Arial" w:cs="Arial"/>
          <w:szCs w:val="24"/>
        </w:rPr>
        <w:t xml:space="preserve">la prohibición del uso propagandístico </w:t>
      </w:r>
      <w:r w:rsidR="003A2B71">
        <w:rPr>
          <w:rFonts w:ascii="Arial" w:hAnsi="Arial" w:cs="Arial"/>
          <w:szCs w:val="24"/>
        </w:rPr>
        <w:t xml:space="preserve">de estos recursos o como un instrumento </w:t>
      </w:r>
      <w:r w:rsidR="00936D7B" w:rsidRPr="00CD3D79">
        <w:rPr>
          <w:rFonts w:ascii="Arial" w:hAnsi="Arial" w:cs="Arial"/>
          <w:szCs w:val="24"/>
        </w:rPr>
        <w:t xml:space="preserve">para influir </w:t>
      </w:r>
      <w:r w:rsidR="003A2B71">
        <w:rPr>
          <w:rFonts w:ascii="Arial" w:hAnsi="Arial" w:cs="Arial"/>
          <w:szCs w:val="24"/>
        </w:rPr>
        <w:t>en</w:t>
      </w:r>
      <w:r w:rsidR="00936D7B" w:rsidRPr="00CD3D79">
        <w:rPr>
          <w:rFonts w:ascii="Arial" w:hAnsi="Arial" w:cs="Arial"/>
          <w:szCs w:val="24"/>
        </w:rPr>
        <w:t xml:space="preserve"> la línea editorial de los medios de comunicación</w:t>
      </w:r>
      <w:r w:rsidR="008F098D" w:rsidRPr="00CD3D79">
        <w:rPr>
          <w:rFonts w:ascii="Arial" w:hAnsi="Arial" w:cs="Arial"/>
          <w:szCs w:val="24"/>
        </w:rPr>
        <w:t xml:space="preserve">. Sin embargo, </w:t>
      </w:r>
      <w:r w:rsidR="00E65D90" w:rsidRPr="00CD3D79">
        <w:rPr>
          <w:rFonts w:ascii="Arial" w:hAnsi="Arial" w:cs="Arial"/>
          <w:szCs w:val="24"/>
        </w:rPr>
        <w:t>algunas</w:t>
      </w:r>
      <w:r w:rsidR="00936D7B" w:rsidRPr="00CD3D79">
        <w:rPr>
          <w:rFonts w:ascii="Arial" w:hAnsi="Arial" w:cs="Arial"/>
          <w:szCs w:val="24"/>
        </w:rPr>
        <w:t xml:space="preserve"> medidas </w:t>
      </w:r>
      <w:r w:rsidR="003A2B71">
        <w:rPr>
          <w:rFonts w:ascii="Arial" w:hAnsi="Arial" w:cs="Arial"/>
          <w:szCs w:val="24"/>
        </w:rPr>
        <w:t xml:space="preserve">son insuficientes y perpetúan las malas prácticas, </w:t>
      </w:r>
      <w:r w:rsidR="00005D43" w:rsidRPr="00CD3D79">
        <w:rPr>
          <w:rFonts w:ascii="Arial" w:hAnsi="Arial" w:cs="Arial"/>
          <w:szCs w:val="24"/>
        </w:rPr>
        <w:t>como la discrecionalidad en la asignación presupuestaria y la desigualdad en la repartición</w:t>
      </w:r>
      <w:r w:rsidR="003A2B71">
        <w:rPr>
          <w:rFonts w:ascii="Arial" w:hAnsi="Arial" w:cs="Arial"/>
          <w:szCs w:val="24"/>
        </w:rPr>
        <w:t xml:space="preserve">. </w:t>
      </w:r>
      <w:r w:rsidR="00936D7B" w:rsidRPr="00CD3D79">
        <w:rPr>
          <w:rFonts w:ascii="Arial" w:hAnsi="Arial" w:cs="Arial"/>
          <w:szCs w:val="24"/>
        </w:rPr>
        <w:t xml:space="preserve"> </w:t>
      </w:r>
    </w:p>
    <w:p w14:paraId="69DDAF2A" w14:textId="42BD6CB3" w:rsidR="00E65D90" w:rsidRPr="00CD3D79" w:rsidRDefault="00E65D90" w:rsidP="003229CC">
      <w:pPr>
        <w:jc w:val="both"/>
        <w:rPr>
          <w:rFonts w:ascii="Arial" w:hAnsi="Arial" w:cs="Arial"/>
          <w:szCs w:val="24"/>
        </w:rPr>
      </w:pPr>
      <w:r w:rsidRPr="00CD3D79">
        <w:rPr>
          <w:rFonts w:ascii="Arial" w:hAnsi="Arial" w:cs="Arial"/>
          <w:szCs w:val="24"/>
        </w:rPr>
        <w:t xml:space="preserve">Uno de los </w:t>
      </w:r>
      <w:r w:rsidR="00F51594">
        <w:rPr>
          <w:rFonts w:ascii="Arial" w:hAnsi="Arial" w:cs="Arial"/>
          <w:szCs w:val="24"/>
        </w:rPr>
        <w:t xml:space="preserve">problemas más graves </w:t>
      </w:r>
      <w:r w:rsidRPr="00CD3D79">
        <w:rPr>
          <w:rFonts w:ascii="Arial" w:hAnsi="Arial" w:cs="Arial"/>
          <w:szCs w:val="24"/>
        </w:rPr>
        <w:t xml:space="preserve">que hemos documentado desde Fundar y </w:t>
      </w:r>
      <w:proofErr w:type="spellStart"/>
      <w:r w:rsidRPr="00CD3D79">
        <w:rPr>
          <w:rFonts w:ascii="Arial" w:hAnsi="Arial" w:cs="Arial"/>
          <w:szCs w:val="24"/>
        </w:rPr>
        <w:t>Art</w:t>
      </w:r>
      <w:r w:rsidR="000D075F" w:rsidRPr="00CD3D79">
        <w:rPr>
          <w:rFonts w:ascii="Arial" w:hAnsi="Arial" w:cs="Arial"/>
          <w:szCs w:val="24"/>
        </w:rPr>
        <w:t>icle</w:t>
      </w:r>
      <w:proofErr w:type="spellEnd"/>
      <w:r w:rsidRPr="00CD3D79">
        <w:rPr>
          <w:rFonts w:ascii="Arial" w:hAnsi="Arial" w:cs="Arial"/>
          <w:szCs w:val="24"/>
        </w:rPr>
        <w:t xml:space="preserve"> 19 es el aumento </w:t>
      </w:r>
      <w:r w:rsidR="003A2B71">
        <w:rPr>
          <w:rFonts w:ascii="Arial" w:hAnsi="Arial" w:cs="Arial"/>
          <w:szCs w:val="24"/>
        </w:rPr>
        <w:t>injustificado en este gasto</w:t>
      </w:r>
      <w:r w:rsidRPr="00CD3D79">
        <w:rPr>
          <w:rFonts w:ascii="Arial" w:hAnsi="Arial" w:cs="Arial"/>
          <w:szCs w:val="24"/>
        </w:rPr>
        <w:t xml:space="preserve">. </w:t>
      </w:r>
      <w:r w:rsidR="003A2B71">
        <w:rPr>
          <w:rFonts w:ascii="Arial" w:hAnsi="Arial" w:cs="Arial"/>
          <w:szCs w:val="24"/>
        </w:rPr>
        <w:t>B</w:t>
      </w:r>
      <w:r w:rsidRPr="00CD3D79">
        <w:rPr>
          <w:rFonts w:ascii="Arial" w:hAnsi="Arial" w:cs="Arial"/>
          <w:szCs w:val="24"/>
        </w:rPr>
        <w:t>asta recordar que</w:t>
      </w:r>
      <w:r w:rsidR="00F51594">
        <w:rPr>
          <w:rFonts w:ascii="Arial" w:hAnsi="Arial" w:cs="Arial"/>
          <w:szCs w:val="24"/>
        </w:rPr>
        <w:t xml:space="preserve"> entre 2013 y 2018</w:t>
      </w:r>
      <w:r w:rsidRPr="00CD3D79">
        <w:rPr>
          <w:rFonts w:ascii="Arial" w:hAnsi="Arial" w:cs="Arial"/>
          <w:szCs w:val="24"/>
        </w:rPr>
        <w:t xml:space="preserve"> el </w:t>
      </w:r>
      <w:r w:rsidR="00F51594">
        <w:rPr>
          <w:rFonts w:ascii="Arial" w:hAnsi="Arial" w:cs="Arial"/>
          <w:szCs w:val="24"/>
        </w:rPr>
        <w:t xml:space="preserve">gobierno de Enrique </w:t>
      </w:r>
      <w:r w:rsidRPr="00CD3D79">
        <w:rPr>
          <w:rFonts w:ascii="Arial" w:hAnsi="Arial" w:cs="Arial"/>
          <w:szCs w:val="24"/>
        </w:rPr>
        <w:t xml:space="preserve">Peña Nieto </w:t>
      </w:r>
      <w:r w:rsidR="000D075F" w:rsidRPr="00CD3D79">
        <w:rPr>
          <w:rFonts w:ascii="Arial" w:hAnsi="Arial" w:cs="Arial"/>
          <w:szCs w:val="24"/>
        </w:rPr>
        <w:t>gastó</w:t>
      </w:r>
      <w:r w:rsidRPr="00CD3D79">
        <w:rPr>
          <w:rFonts w:ascii="Arial" w:hAnsi="Arial" w:cs="Arial"/>
          <w:szCs w:val="24"/>
        </w:rPr>
        <w:t xml:space="preserve"> </w:t>
      </w:r>
      <w:r w:rsidR="00F51594">
        <w:rPr>
          <w:rFonts w:ascii="Arial" w:hAnsi="Arial" w:cs="Arial"/>
          <w:szCs w:val="24"/>
        </w:rPr>
        <w:t xml:space="preserve">61 mil 659 millones de pesos en publicidad oficial, lo que significa 89% más de lo aprobado. </w:t>
      </w:r>
      <w:r w:rsidR="003A2B71">
        <w:rPr>
          <w:rFonts w:ascii="Arial" w:hAnsi="Arial" w:cs="Arial"/>
          <w:szCs w:val="24"/>
        </w:rPr>
        <w:t>Frente a esto</w:t>
      </w:r>
      <w:r w:rsidR="000D075F" w:rsidRPr="00CD3D79">
        <w:rPr>
          <w:rFonts w:ascii="Arial" w:hAnsi="Arial" w:cs="Arial"/>
          <w:szCs w:val="24"/>
        </w:rPr>
        <w:t>, e</w:t>
      </w:r>
      <w:r w:rsidRPr="00CD3D79">
        <w:rPr>
          <w:rFonts w:ascii="Arial" w:hAnsi="Arial" w:cs="Arial"/>
          <w:szCs w:val="24"/>
        </w:rPr>
        <w:t xml:space="preserve">l nuevo gobierno no ha </w:t>
      </w:r>
      <w:r w:rsidR="000D075F" w:rsidRPr="00CD3D79">
        <w:rPr>
          <w:rFonts w:ascii="Arial" w:hAnsi="Arial" w:cs="Arial"/>
          <w:szCs w:val="24"/>
        </w:rPr>
        <w:t>establecido</w:t>
      </w:r>
      <w:r w:rsidRPr="00CD3D79">
        <w:rPr>
          <w:rFonts w:ascii="Arial" w:hAnsi="Arial" w:cs="Arial"/>
          <w:szCs w:val="24"/>
        </w:rPr>
        <w:t xml:space="preserve"> topes presupuestarios</w:t>
      </w:r>
      <w:r w:rsidR="000D075F" w:rsidRPr="00CD3D79">
        <w:rPr>
          <w:rFonts w:ascii="Arial" w:hAnsi="Arial" w:cs="Arial"/>
          <w:szCs w:val="24"/>
        </w:rPr>
        <w:t>.</w:t>
      </w:r>
      <w:r w:rsidR="00F51594">
        <w:rPr>
          <w:rFonts w:ascii="Arial" w:hAnsi="Arial" w:cs="Arial"/>
          <w:szCs w:val="24"/>
        </w:rPr>
        <w:t xml:space="preserve"> </w:t>
      </w:r>
      <w:r w:rsidR="003A2B71">
        <w:rPr>
          <w:rFonts w:ascii="Arial" w:hAnsi="Arial" w:cs="Arial"/>
          <w:szCs w:val="24"/>
        </w:rPr>
        <w:t xml:space="preserve">Esta nueva política no </w:t>
      </w:r>
      <w:r w:rsidR="00D03816">
        <w:rPr>
          <w:rFonts w:ascii="Arial" w:hAnsi="Arial" w:cs="Arial"/>
          <w:szCs w:val="24"/>
        </w:rPr>
        <w:t xml:space="preserve">los </w:t>
      </w:r>
      <w:r w:rsidR="00F51594">
        <w:rPr>
          <w:rFonts w:ascii="Arial" w:hAnsi="Arial" w:cs="Arial"/>
          <w:szCs w:val="24"/>
        </w:rPr>
        <w:t xml:space="preserve">prohíbe, aunque su Artículo 11 obliga a las </w:t>
      </w:r>
      <w:r w:rsidR="00F51594">
        <w:rPr>
          <w:rFonts w:ascii="Arial" w:hAnsi="Arial" w:cs="Arial"/>
          <w:szCs w:val="24"/>
        </w:rPr>
        <w:lastRenderedPageBreak/>
        <w:t xml:space="preserve">dependencias a anunciarlos. Si bien esto resulta positivo en términos de transparencia, sigue validando las malas prácticas de administraciones anteriores. </w:t>
      </w:r>
    </w:p>
    <w:p w14:paraId="761554EF" w14:textId="472F9679" w:rsidR="00F51594" w:rsidRDefault="00F51594" w:rsidP="003229CC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Por otro lado, actualmente </w:t>
      </w:r>
      <w:r w:rsidR="000D075F" w:rsidRPr="00CD3D79">
        <w:rPr>
          <w:rFonts w:ascii="Arial" w:hAnsi="Arial" w:cs="Arial"/>
          <w:szCs w:val="24"/>
        </w:rPr>
        <w:t>entre 45 y 50% del gasto</w:t>
      </w:r>
      <w:r>
        <w:rPr>
          <w:rFonts w:ascii="Arial" w:hAnsi="Arial" w:cs="Arial"/>
          <w:szCs w:val="24"/>
        </w:rPr>
        <w:t xml:space="preserve"> en publicidad oficial</w:t>
      </w:r>
      <w:r w:rsidR="000D075F" w:rsidRPr="00CD3D79">
        <w:rPr>
          <w:rFonts w:ascii="Arial" w:hAnsi="Arial" w:cs="Arial"/>
          <w:szCs w:val="24"/>
        </w:rPr>
        <w:t xml:space="preserve"> se concentra en 10 medios de comunicación.</w:t>
      </w:r>
      <w:r w:rsidR="00E65D90" w:rsidRPr="00CD3D79">
        <w:rPr>
          <w:rFonts w:ascii="Arial" w:hAnsi="Arial" w:cs="Arial"/>
          <w:szCs w:val="24"/>
        </w:rPr>
        <w:t xml:space="preserve"> </w:t>
      </w:r>
      <w:r w:rsidR="00936D7B" w:rsidRPr="00CD3D79">
        <w:rPr>
          <w:rFonts w:ascii="Arial" w:hAnsi="Arial" w:cs="Arial"/>
          <w:szCs w:val="24"/>
        </w:rPr>
        <w:t xml:space="preserve">En el </w:t>
      </w:r>
      <w:r>
        <w:rPr>
          <w:rFonts w:ascii="Arial" w:hAnsi="Arial" w:cs="Arial"/>
          <w:szCs w:val="24"/>
        </w:rPr>
        <w:t>A</w:t>
      </w:r>
      <w:r w:rsidR="00936D7B" w:rsidRPr="00CD3D79">
        <w:rPr>
          <w:rFonts w:ascii="Arial" w:hAnsi="Arial" w:cs="Arial"/>
          <w:szCs w:val="24"/>
        </w:rPr>
        <w:t>rtículo 12</w:t>
      </w:r>
      <w:r w:rsidR="000D075F" w:rsidRPr="00CD3D79">
        <w:rPr>
          <w:rFonts w:ascii="Arial" w:hAnsi="Arial" w:cs="Arial"/>
          <w:szCs w:val="24"/>
        </w:rPr>
        <w:t xml:space="preserve"> de la</w:t>
      </w:r>
      <w:r>
        <w:rPr>
          <w:rFonts w:ascii="Arial" w:hAnsi="Arial" w:cs="Arial"/>
          <w:szCs w:val="24"/>
        </w:rPr>
        <w:t xml:space="preserve"> nueva</w:t>
      </w:r>
      <w:r w:rsidR="000D075F" w:rsidRPr="00CD3D7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0D075F" w:rsidRPr="00CD3D79">
        <w:rPr>
          <w:rFonts w:ascii="Arial" w:hAnsi="Arial" w:cs="Arial"/>
          <w:szCs w:val="24"/>
        </w:rPr>
        <w:t>olítica</w:t>
      </w:r>
      <w:r w:rsidR="00936D7B" w:rsidRPr="00CD3D79">
        <w:rPr>
          <w:rFonts w:ascii="Arial" w:hAnsi="Arial" w:cs="Arial"/>
          <w:szCs w:val="24"/>
        </w:rPr>
        <w:t xml:space="preserve"> se </w:t>
      </w:r>
      <w:r>
        <w:rPr>
          <w:rFonts w:ascii="Arial" w:hAnsi="Arial" w:cs="Arial"/>
          <w:szCs w:val="24"/>
        </w:rPr>
        <w:t>prohíbe</w:t>
      </w:r>
      <w:r w:rsidR="000D075F" w:rsidRPr="00CD3D79">
        <w:rPr>
          <w:rFonts w:ascii="Arial" w:hAnsi="Arial" w:cs="Arial"/>
          <w:szCs w:val="24"/>
        </w:rPr>
        <w:t xml:space="preserve"> que </w:t>
      </w:r>
      <w:r>
        <w:rPr>
          <w:rFonts w:ascii="Arial" w:hAnsi="Arial" w:cs="Arial"/>
          <w:szCs w:val="24"/>
        </w:rPr>
        <w:t>un</w:t>
      </w:r>
      <w:r w:rsidR="00D03816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 solo </w:t>
      </w:r>
      <w:r w:rsidR="000D075F" w:rsidRPr="00CD3D79">
        <w:rPr>
          <w:rFonts w:ascii="Arial" w:hAnsi="Arial" w:cs="Arial"/>
          <w:szCs w:val="24"/>
        </w:rPr>
        <w:t>reciba más del 25% del gasto. Sin embargo, esta</w:t>
      </w:r>
      <w:r w:rsidR="00936D7B" w:rsidRPr="00CD3D79">
        <w:rPr>
          <w:rFonts w:ascii="Arial" w:hAnsi="Arial" w:cs="Arial"/>
          <w:szCs w:val="24"/>
        </w:rPr>
        <w:t xml:space="preserve"> medida de avanzada </w:t>
      </w:r>
      <w:r w:rsidR="000D075F" w:rsidRPr="00CD3D79">
        <w:rPr>
          <w:rFonts w:ascii="Arial" w:hAnsi="Arial" w:cs="Arial"/>
          <w:szCs w:val="24"/>
        </w:rPr>
        <w:t xml:space="preserve">está acompañada de </w:t>
      </w:r>
      <w:r w:rsidR="00E65D90" w:rsidRPr="00CD3D79">
        <w:rPr>
          <w:rFonts w:ascii="Arial" w:hAnsi="Arial" w:cs="Arial"/>
          <w:szCs w:val="24"/>
        </w:rPr>
        <w:t>excepciones</w:t>
      </w:r>
      <w:r w:rsidR="000D075F" w:rsidRPr="00CD3D79">
        <w:rPr>
          <w:rFonts w:ascii="Arial" w:hAnsi="Arial" w:cs="Arial"/>
          <w:szCs w:val="24"/>
        </w:rPr>
        <w:t xml:space="preserve">. </w:t>
      </w:r>
    </w:p>
    <w:p w14:paraId="343D5265" w14:textId="07AC8650" w:rsidR="00F51594" w:rsidRDefault="00DF0D2E" w:rsidP="003229CC">
      <w:pPr>
        <w:jc w:val="both"/>
        <w:rPr>
          <w:rFonts w:ascii="Arial" w:hAnsi="Arial" w:cs="Arial"/>
          <w:szCs w:val="24"/>
        </w:rPr>
      </w:pPr>
      <w:r w:rsidRPr="00CD3D79">
        <w:rPr>
          <w:rFonts w:ascii="Arial" w:hAnsi="Arial" w:cs="Arial"/>
          <w:szCs w:val="24"/>
        </w:rPr>
        <w:t xml:space="preserve">El </w:t>
      </w:r>
      <w:r w:rsidR="00F51594">
        <w:rPr>
          <w:rFonts w:ascii="Arial" w:hAnsi="Arial" w:cs="Arial"/>
          <w:szCs w:val="24"/>
        </w:rPr>
        <w:t>A</w:t>
      </w:r>
      <w:r w:rsidRPr="00CD3D79">
        <w:rPr>
          <w:rFonts w:ascii="Arial" w:hAnsi="Arial" w:cs="Arial"/>
          <w:szCs w:val="24"/>
        </w:rPr>
        <w:t>rtículo 14</w:t>
      </w:r>
      <w:r w:rsidR="00F51594">
        <w:rPr>
          <w:rFonts w:ascii="Arial" w:hAnsi="Arial" w:cs="Arial"/>
          <w:szCs w:val="24"/>
        </w:rPr>
        <w:t xml:space="preserve"> </w:t>
      </w:r>
      <w:r w:rsidRPr="00CD3D79">
        <w:rPr>
          <w:rFonts w:ascii="Arial" w:hAnsi="Arial" w:cs="Arial"/>
          <w:szCs w:val="24"/>
        </w:rPr>
        <w:t>fija de manera muy oportuna</w:t>
      </w:r>
      <w:r w:rsidR="00460F12" w:rsidRPr="00CD3D79">
        <w:rPr>
          <w:rFonts w:ascii="Arial" w:hAnsi="Arial" w:cs="Arial"/>
          <w:szCs w:val="24"/>
        </w:rPr>
        <w:t xml:space="preserve"> algunos criterios de asignación</w:t>
      </w:r>
      <w:r w:rsidRPr="00CD3D79">
        <w:rPr>
          <w:rFonts w:ascii="Arial" w:hAnsi="Arial" w:cs="Arial"/>
          <w:szCs w:val="24"/>
        </w:rPr>
        <w:t xml:space="preserve"> de la publicidad</w:t>
      </w:r>
      <w:r w:rsidR="00466149" w:rsidRPr="00CD3D79">
        <w:rPr>
          <w:rFonts w:ascii="Arial" w:hAnsi="Arial" w:cs="Arial"/>
          <w:szCs w:val="24"/>
        </w:rPr>
        <w:t xml:space="preserve"> </w:t>
      </w:r>
      <w:proofErr w:type="gramStart"/>
      <w:r w:rsidRPr="00CD3D79">
        <w:rPr>
          <w:rFonts w:ascii="Arial" w:hAnsi="Arial" w:cs="Arial"/>
          <w:szCs w:val="24"/>
        </w:rPr>
        <w:t>oficial</w:t>
      </w:r>
      <w:proofErr w:type="gramEnd"/>
      <w:r w:rsidR="00460F12" w:rsidRPr="00CD3D79">
        <w:rPr>
          <w:rFonts w:ascii="Arial" w:hAnsi="Arial" w:cs="Arial"/>
          <w:szCs w:val="24"/>
        </w:rPr>
        <w:t xml:space="preserve"> </w:t>
      </w:r>
      <w:r w:rsidRPr="00CD3D79">
        <w:rPr>
          <w:rFonts w:ascii="Arial" w:hAnsi="Arial" w:cs="Arial"/>
          <w:szCs w:val="24"/>
        </w:rPr>
        <w:t>pero falta claridad y precisión en su redacción</w:t>
      </w:r>
      <w:r w:rsidR="00F51594">
        <w:rPr>
          <w:rFonts w:ascii="Arial" w:hAnsi="Arial" w:cs="Arial"/>
          <w:szCs w:val="24"/>
        </w:rPr>
        <w:t>,</w:t>
      </w:r>
      <w:r w:rsidRPr="00CD3D79">
        <w:rPr>
          <w:rFonts w:ascii="Arial" w:hAnsi="Arial" w:cs="Arial"/>
          <w:szCs w:val="24"/>
        </w:rPr>
        <w:t xml:space="preserve"> lo </w:t>
      </w:r>
      <w:r w:rsidR="00F51594">
        <w:rPr>
          <w:rFonts w:ascii="Arial" w:hAnsi="Arial" w:cs="Arial"/>
          <w:szCs w:val="24"/>
        </w:rPr>
        <w:t>que da</w:t>
      </w:r>
      <w:r w:rsidRPr="00CD3D79">
        <w:rPr>
          <w:rFonts w:ascii="Arial" w:hAnsi="Arial" w:cs="Arial"/>
          <w:szCs w:val="24"/>
        </w:rPr>
        <w:t xml:space="preserve"> un margen importante de interpretación y </w:t>
      </w:r>
      <w:r w:rsidR="00F51594">
        <w:rPr>
          <w:rFonts w:ascii="Arial" w:hAnsi="Arial" w:cs="Arial"/>
          <w:szCs w:val="24"/>
        </w:rPr>
        <w:t xml:space="preserve">de </w:t>
      </w:r>
      <w:r w:rsidRPr="00CD3D79">
        <w:rPr>
          <w:rFonts w:ascii="Arial" w:hAnsi="Arial" w:cs="Arial"/>
          <w:szCs w:val="24"/>
        </w:rPr>
        <w:t xml:space="preserve">discrecionalidad. </w:t>
      </w:r>
    </w:p>
    <w:p w14:paraId="7895BF96" w14:textId="41D01705" w:rsidR="00DF0D2E" w:rsidRPr="00CD3D79" w:rsidRDefault="00DF0D2E" w:rsidP="003229CC">
      <w:pPr>
        <w:jc w:val="both"/>
        <w:rPr>
          <w:rFonts w:ascii="Arial" w:hAnsi="Arial" w:cs="Arial"/>
          <w:szCs w:val="24"/>
        </w:rPr>
      </w:pPr>
      <w:r w:rsidRPr="00CD3D79">
        <w:rPr>
          <w:rFonts w:ascii="Arial" w:hAnsi="Arial" w:cs="Arial"/>
          <w:szCs w:val="24"/>
        </w:rPr>
        <w:t xml:space="preserve">Asimismo, la </w:t>
      </w:r>
      <w:r w:rsidR="00F51594">
        <w:rPr>
          <w:rFonts w:ascii="Arial" w:hAnsi="Arial" w:cs="Arial"/>
          <w:szCs w:val="24"/>
        </w:rPr>
        <w:t>p</w:t>
      </w:r>
      <w:r w:rsidRPr="00CD3D79">
        <w:rPr>
          <w:rFonts w:ascii="Arial" w:hAnsi="Arial" w:cs="Arial"/>
          <w:szCs w:val="24"/>
        </w:rPr>
        <w:t>olítica</w:t>
      </w:r>
      <w:r w:rsidR="00F51594">
        <w:rPr>
          <w:rFonts w:ascii="Arial" w:hAnsi="Arial" w:cs="Arial"/>
          <w:szCs w:val="24"/>
        </w:rPr>
        <w:t xml:space="preserve"> anunciada</w:t>
      </w:r>
      <w:r w:rsidRPr="00CD3D79">
        <w:rPr>
          <w:rFonts w:ascii="Arial" w:hAnsi="Arial" w:cs="Arial"/>
          <w:szCs w:val="24"/>
        </w:rPr>
        <w:t xml:space="preserve"> hace caso omiso de </w:t>
      </w:r>
      <w:r w:rsidR="00035A1D" w:rsidRPr="00CD3D79">
        <w:rPr>
          <w:rFonts w:ascii="Arial" w:hAnsi="Arial" w:cs="Arial"/>
          <w:szCs w:val="24"/>
        </w:rPr>
        <w:t>las concesiones de uso social comunitarias e indígenas</w:t>
      </w:r>
      <w:r w:rsidRPr="00CD3D79">
        <w:rPr>
          <w:rFonts w:ascii="Arial" w:hAnsi="Arial" w:cs="Arial"/>
          <w:szCs w:val="24"/>
        </w:rPr>
        <w:t xml:space="preserve">. Con el marco legal actual los medios comunitarios </w:t>
      </w:r>
      <w:r w:rsidR="00974E63">
        <w:rPr>
          <w:rFonts w:ascii="Arial" w:hAnsi="Arial" w:cs="Arial"/>
          <w:szCs w:val="24"/>
        </w:rPr>
        <w:t>tienen</w:t>
      </w:r>
      <w:r w:rsidR="00F51594">
        <w:rPr>
          <w:rFonts w:ascii="Arial" w:hAnsi="Arial" w:cs="Arial"/>
          <w:szCs w:val="24"/>
        </w:rPr>
        <w:t xml:space="preserve"> </w:t>
      </w:r>
      <w:r w:rsidRPr="00CD3D79">
        <w:rPr>
          <w:rFonts w:ascii="Arial" w:hAnsi="Arial" w:cs="Arial"/>
          <w:szCs w:val="24"/>
        </w:rPr>
        <w:t xml:space="preserve">acceso </w:t>
      </w:r>
      <w:r w:rsidR="00974E63">
        <w:rPr>
          <w:rFonts w:ascii="Arial" w:hAnsi="Arial" w:cs="Arial"/>
          <w:szCs w:val="24"/>
        </w:rPr>
        <w:t xml:space="preserve">limitado </w:t>
      </w:r>
      <w:r w:rsidRPr="00CD3D79">
        <w:rPr>
          <w:rFonts w:ascii="Arial" w:hAnsi="Arial" w:cs="Arial"/>
          <w:szCs w:val="24"/>
        </w:rPr>
        <w:t>a la publicidad oficial</w:t>
      </w:r>
      <w:r w:rsidR="00C37D93" w:rsidRPr="00CD3D79">
        <w:rPr>
          <w:rFonts w:ascii="Arial" w:hAnsi="Arial" w:cs="Arial"/>
          <w:szCs w:val="24"/>
        </w:rPr>
        <w:t>,</w:t>
      </w:r>
      <w:r w:rsidR="00D340B3">
        <w:rPr>
          <w:rFonts w:ascii="Arial" w:hAnsi="Arial" w:cs="Arial"/>
          <w:szCs w:val="24"/>
        </w:rPr>
        <w:t xml:space="preserve"> y </w:t>
      </w:r>
      <w:r w:rsidR="00974E63">
        <w:rPr>
          <w:rFonts w:ascii="Arial" w:hAnsi="Arial" w:cs="Arial"/>
          <w:szCs w:val="24"/>
        </w:rPr>
        <w:t xml:space="preserve">se </w:t>
      </w:r>
      <w:r w:rsidR="00D340B3">
        <w:rPr>
          <w:rFonts w:ascii="Arial" w:hAnsi="Arial" w:cs="Arial"/>
          <w:szCs w:val="24"/>
        </w:rPr>
        <w:t>podría garantizar</w:t>
      </w:r>
      <w:bookmarkStart w:id="0" w:name="_GoBack"/>
      <w:bookmarkEnd w:id="0"/>
      <w:r w:rsidR="00C37D93" w:rsidRPr="00CD3D79">
        <w:rPr>
          <w:rFonts w:ascii="Arial" w:hAnsi="Arial" w:cs="Arial"/>
          <w:szCs w:val="24"/>
        </w:rPr>
        <w:t xml:space="preserve"> </w:t>
      </w:r>
      <w:r w:rsidR="00D340B3">
        <w:rPr>
          <w:rFonts w:ascii="Arial" w:hAnsi="Arial" w:cs="Arial"/>
          <w:szCs w:val="24"/>
        </w:rPr>
        <w:t xml:space="preserve">el destino de un porcentaje del presupuesto a estos medios. </w:t>
      </w:r>
    </w:p>
    <w:p w14:paraId="2FCC8EB9" w14:textId="7F011CEF" w:rsidR="00D340B3" w:rsidRDefault="00D340B3" w:rsidP="00DF0D2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 p</w:t>
      </w:r>
      <w:r w:rsidR="00DF0D2E" w:rsidRPr="00CD3D79">
        <w:rPr>
          <w:rFonts w:ascii="Arial" w:hAnsi="Arial" w:cs="Arial"/>
          <w:szCs w:val="24"/>
        </w:rPr>
        <w:t>olítica t</w:t>
      </w:r>
      <w:r w:rsidR="00466149" w:rsidRPr="00CD3D79">
        <w:rPr>
          <w:rFonts w:ascii="Arial" w:hAnsi="Arial" w:cs="Arial"/>
          <w:szCs w:val="24"/>
        </w:rPr>
        <w:t>endrá</w:t>
      </w:r>
      <w:r w:rsidR="00DF0D2E" w:rsidRPr="00CD3D79">
        <w:rPr>
          <w:rFonts w:ascii="Arial" w:hAnsi="Arial" w:cs="Arial"/>
          <w:szCs w:val="24"/>
        </w:rPr>
        <w:t xml:space="preserve"> efectos limitados</w:t>
      </w:r>
      <w:r>
        <w:rPr>
          <w:rFonts w:ascii="Arial" w:hAnsi="Arial" w:cs="Arial"/>
          <w:szCs w:val="24"/>
        </w:rPr>
        <w:t>. S</w:t>
      </w:r>
      <w:r w:rsidR="00466149" w:rsidRPr="00CD3D79">
        <w:rPr>
          <w:rFonts w:ascii="Arial" w:hAnsi="Arial" w:cs="Arial"/>
          <w:szCs w:val="24"/>
        </w:rPr>
        <w:t xml:space="preserve">i bien es un avance, </w:t>
      </w:r>
      <w:r>
        <w:rPr>
          <w:rFonts w:ascii="Arial" w:hAnsi="Arial" w:cs="Arial"/>
          <w:szCs w:val="24"/>
        </w:rPr>
        <w:t>su</w:t>
      </w:r>
      <w:r w:rsidR="00466149" w:rsidRPr="00CD3D79">
        <w:rPr>
          <w:rFonts w:ascii="Arial" w:hAnsi="Arial" w:cs="Arial"/>
          <w:szCs w:val="24"/>
        </w:rPr>
        <w:t xml:space="preserve"> contenido no acaba con todos los grandes males de la publicidad oficial. </w:t>
      </w:r>
      <w:r w:rsidR="00D0381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u aplicación es sólo a nivel federal, </w:t>
      </w:r>
      <w:r w:rsidR="00D03816">
        <w:rPr>
          <w:rFonts w:ascii="Arial" w:hAnsi="Arial" w:cs="Arial"/>
          <w:szCs w:val="24"/>
        </w:rPr>
        <w:t xml:space="preserve">pero </w:t>
      </w:r>
      <w:r>
        <w:rPr>
          <w:rFonts w:ascii="Arial" w:hAnsi="Arial" w:cs="Arial"/>
          <w:szCs w:val="24"/>
        </w:rPr>
        <w:t>n</w:t>
      </w:r>
      <w:r w:rsidR="00466149" w:rsidRPr="00CD3D79">
        <w:rPr>
          <w:rFonts w:ascii="Arial" w:hAnsi="Arial" w:cs="Arial"/>
          <w:szCs w:val="24"/>
        </w:rPr>
        <w:t xml:space="preserve">o </w:t>
      </w:r>
      <w:r>
        <w:rPr>
          <w:rFonts w:ascii="Arial" w:hAnsi="Arial" w:cs="Arial"/>
          <w:szCs w:val="24"/>
        </w:rPr>
        <w:t>podremos</w:t>
      </w:r>
      <w:r w:rsidR="00466149" w:rsidRPr="00CD3D79">
        <w:rPr>
          <w:rFonts w:ascii="Arial" w:hAnsi="Arial" w:cs="Arial"/>
          <w:szCs w:val="24"/>
        </w:rPr>
        <w:t xml:space="preserve"> cambiar la relación entre medios y gobiernos si no se avanza hacia una legislación que obligue a todos los poderes de todos los niveles de gobierno. </w:t>
      </w:r>
    </w:p>
    <w:p w14:paraId="7774EAB7" w14:textId="5AD6FB30" w:rsidR="00210ED9" w:rsidRPr="00CD3D79" w:rsidRDefault="00466149" w:rsidP="00DF0D2E">
      <w:pPr>
        <w:jc w:val="both"/>
        <w:rPr>
          <w:rFonts w:ascii="Arial" w:hAnsi="Arial" w:cs="Arial"/>
          <w:szCs w:val="24"/>
        </w:rPr>
      </w:pPr>
      <w:r w:rsidRPr="00CD3D79">
        <w:rPr>
          <w:rFonts w:ascii="Arial" w:hAnsi="Arial" w:cs="Arial"/>
          <w:szCs w:val="24"/>
        </w:rPr>
        <w:t xml:space="preserve">La </w:t>
      </w:r>
      <w:r w:rsidR="00D340B3">
        <w:rPr>
          <w:rFonts w:ascii="Arial" w:hAnsi="Arial" w:cs="Arial"/>
          <w:szCs w:val="24"/>
        </w:rPr>
        <w:t>actual L</w:t>
      </w:r>
      <w:r w:rsidRPr="00CD3D79">
        <w:rPr>
          <w:rFonts w:ascii="Arial" w:hAnsi="Arial" w:cs="Arial"/>
          <w:szCs w:val="24"/>
        </w:rPr>
        <w:t xml:space="preserve">ey </w:t>
      </w:r>
      <w:r w:rsidR="00D03816">
        <w:rPr>
          <w:rFonts w:ascii="Arial" w:hAnsi="Arial" w:cs="Arial"/>
          <w:szCs w:val="24"/>
        </w:rPr>
        <w:t>G</w:t>
      </w:r>
      <w:r w:rsidRPr="00CD3D79">
        <w:rPr>
          <w:rFonts w:ascii="Arial" w:hAnsi="Arial" w:cs="Arial"/>
          <w:szCs w:val="24"/>
        </w:rPr>
        <w:t xml:space="preserve">eneral de </w:t>
      </w:r>
      <w:r w:rsidR="00D03816">
        <w:rPr>
          <w:rFonts w:ascii="Arial" w:hAnsi="Arial" w:cs="Arial"/>
          <w:szCs w:val="24"/>
        </w:rPr>
        <w:t>C</w:t>
      </w:r>
      <w:r w:rsidRPr="00CD3D79">
        <w:rPr>
          <w:rFonts w:ascii="Arial" w:hAnsi="Arial" w:cs="Arial"/>
          <w:szCs w:val="24"/>
        </w:rPr>
        <w:t xml:space="preserve">omunicación </w:t>
      </w:r>
      <w:r w:rsidR="00D03816">
        <w:rPr>
          <w:rFonts w:ascii="Arial" w:hAnsi="Arial" w:cs="Arial"/>
          <w:szCs w:val="24"/>
        </w:rPr>
        <w:t>S</w:t>
      </w:r>
      <w:r w:rsidRPr="00CD3D79">
        <w:rPr>
          <w:rFonts w:ascii="Arial" w:hAnsi="Arial" w:cs="Arial"/>
          <w:szCs w:val="24"/>
        </w:rPr>
        <w:t>ocial debe abrogar</w:t>
      </w:r>
      <w:r w:rsidR="00D340B3">
        <w:rPr>
          <w:rFonts w:ascii="Arial" w:hAnsi="Arial" w:cs="Arial"/>
          <w:szCs w:val="24"/>
        </w:rPr>
        <w:t>se</w:t>
      </w:r>
      <w:r w:rsidR="00A14641" w:rsidRPr="00CD3D79">
        <w:rPr>
          <w:rFonts w:ascii="Arial" w:hAnsi="Arial" w:cs="Arial"/>
          <w:szCs w:val="24"/>
        </w:rPr>
        <w:t xml:space="preserve"> para poder discutir y legislar una nueva de conformidad con lo estipulado por la Suprema Corte de Justicia de la Nación, y retomando los estándares de la Comisión Interamericana de Derechos Humanos en sus “Principios sobre regulación de la publicidad y libertad de expresión”</w:t>
      </w:r>
      <w:r w:rsidR="00844558" w:rsidRPr="00CD3D79">
        <w:rPr>
          <w:rFonts w:ascii="Arial" w:hAnsi="Arial" w:cs="Arial"/>
          <w:szCs w:val="24"/>
        </w:rPr>
        <w:t xml:space="preserve">. </w:t>
      </w:r>
      <w:r w:rsidR="00D340B3">
        <w:rPr>
          <w:rFonts w:ascii="Arial" w:hAnsi="Arial" w:cs="Arial"/>
          <w:szCs w:val="24"/>
        </w:rPr>
        <w:t>A</w:t>
      </w:r>
      <w:r w:rsidR="00844558" w:rsidRPr="00CD3D79">
        <w:rPr>
          <w:rFonts w:ascii="Arial" w:hAnsi="Arial" w:cs="Arial"/>
          <w:szCs w:val="24"/>
        </w:rPr>
        <w:t xml:space="preserve"> finales del año pasado, como parte del Colectivo #</w:t>
      </w:r>
      <w:proofErr w:type="spellStart"/>
      <w:r w:rsidR="00844558" w:rsidRPr="00CD3D79">
        <w:rPr>
          <w:rFonts w:ascii="Arial" w:hAnsi="Arial" w:cs="Arial"/>
          <w:szCs w:val="24"/>
        </w:rPr>
        <w:t>MediosLibres</w:t>
      </w:r>
      <w:proofErr w:type="spellEnd"/>
      <w:r w:rsidR="00844558" w:rsidRPr="00CD3D79">
        <w:rPr>
          <w:rFonts w:ascii="Arial" w:hAnsi="Arial" w:cs="Arial"/>
          <w:szCs w:val="24"/>
        </w:rPr>
        <w:t xml:space="preserve">, elaboramos una </w:t>
      </w:r>
      <w:hyperlink r:id="rId8" w:history="1">
        <w:r w:rsidR="00844558" w:rsidRPr="00CD3D79">
          <w:rPr>
            <w:rStyle w:val="Hipervnculo"/>
            <w:rFonts w:ascii="Arial" w:hAnsi="Arial" w:cs="Arial"/>
            <w:szCs w:val="24"/>
          </w:rPr>
          <w:t>iniciativa de ley general</w:t>
        </w:r>
      </w:hyperlink>
      <w:r w:rsidR="00844558" w:rsidRPr="00CD3D79">
        <w:rPr>
          <w:rFonts w:ascii="Arial" w:hAnsi="Arial" w:cs="Arial"/>
          <w:szCs w:val="24"/>
        </w:rPr>
        <w:t>, y pedimos al gobierno que se discuta y revise por el Congreso</w:t>
      </w:r>
      <w:r w:rsidR="00A14641" w:rsidRPr="00CD3D79">
        <w:rPr>
          <w:rFonts w:ascii="Arial" w:hAnsi="Arial" w:cs="Arial"/>
          <w:szCs w:val="24"/>
        </w:rPr>
        <w:t xml:space="preserve"> bajo un modelo de parlamento abierto</w:t>
      </w:r>
      <w:r w:rsidR="00844558" w:rsidRPr="00CD3D79">
        <w:rPr>
          <w:rFonts w:ascii="Arial" w:hAnsi="Arial" w:cs="Arial"/>
          <w:szCs w:val="24"/>
        </w:rPr>
        <w:t>.</w:t>
      </w:r>
    </w:p>
    <w:sectPr w:rsidR="00210ED9" w:rsidRPr="00CD3D79" w:rsidSect="005273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C46"/>
    <w:multiLevelType w:val="multilevel"/>
    <w:tmpl w:val="4D623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CC"/>
    <w:rsid w:val="00005D43"/>
    <w:rsid w:val="00035A1D"/>
    <w:rsid w:val="000D075F"/>
    <w:rsid w:val="00210ED9"/>
    <w:rsid w:val="00220BA5"/>
    <w:rsid w:val="002315E3"/>
    <w:rsid w:val="00286BD8"/>
    <w:rsid w:val="003229CC"/>
    <w:rsid w:val="0032481B"/>
    <w:rsid w:val="00325781"/>
    <w:rsid w:val="003A0F72"/>
    <w:rsid w:val="003A2B71"/>
    <w:rsid w:val="00460F12"/>
    <w:rsid w:val="00466149"/>
    <w:rsid w:val="0052734E"/>
    <w:rsid w:val="00796975"/>
    <w:rsid w:val="00844558"/>
    <w:rsid w:val="008F098D"/>
    <w:rsid w:val="00936D7B"/>
    <w:rsid w:val="00974E63"/>
    <w:rsid w:val="009B0146"/>
    <w:rsid w:val="00A14641"/>
    <w:rsid w:val="00A544D0"/>
    <w:rsid w:val="00AA77DE"/>
    <w:rsid w:val="00B64780"/>
    <w:rsid w:val="00C37D93"/>
    <w:rsid w:val="00CD3D79"/>
    <w:rsid w:val="00D03816"/>
    <w:rsid w:val="00D340B3"/>
    <w:rsid w:val="00DF0D2E"/>
    <w:rsid w:val="00E65D90"/>
    <w:rsid w:val="00F27733"/>
    <w:rsid w:val="00F51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989D"/>
  <w15:docId w15:val="{43DB26CE-A21C-44A4-8AC3-A735E4CB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9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9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098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35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5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5A1D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5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5A1D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5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5A1D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idadoficial.com.mx/wp-content/uploads/2018/10/LGPO-VF-2410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rmatividaddecomunicacion.gob.mx/work/models/NormatividadDeComunicacion/Resource/49/1/images/LineamientosGenerales2019-DOF2901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Dupuy</dc:creator>
  <cp:keywords/>
  <dc:description/>
  <cp:lastModifiedBy>Microsoft Office User</cp:lastModifiedBy>
  <cp:revision>3</cp:revision>
  <dcterms:created xsi:type="dcterms:W3CDTF">2019-04-18T02:47:00Z</dcterms:created>
  <dcterms:modified xsi:type="dcterms:W3CDTF">2019-04-18T03:01:00Z</dcterms:modified>
</cp:coreProperties>
</file>